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69</w:t>
      </w:r>
    </w:p>
    <w:p>
      <w:r>
        <w:t>Bundesgericht (BGE), 1998-03-06, IT</w:t>
      </w:r>
    </w:p>
    <w:p>
      <w:r>
        <w:rPr>
          <w:b/>
        </w:rPr>
        <w:t xml:space="preserve">Quelle: </w:t>
      </w:r>
      <w:r>
        <w:t>https://mcp.opencaselaw.ch/entscheid/bge_124 V 69</w:t>
      </w:r>
    </w:p>
    <w:p>
      <w:r>
        <w:t>FR: ATF 124 V 69</w:t>
      </w:r>
    </w:p>
    <w:p>
      <w:r>
        <w:t>IT: DTF 124 V 69</w:t>
      </w:r>
    </w:p>
    <w:p>
      <w:pPr>
        <w:pStyle w:val="Heading2"/>
      </w:pPr>
      <w:r>
        <w:t>Regeste</w:t>
      </w:r>
    </w:p>
    <w:p>
      <w:r>
        <w:t>Regeste Art. 23 Abs. 1 (in der bis 31. Dezember 1995 gültig gewesenen Fassung) und Art. 24 Abs. 1 AVIG; Art. 37 Abs. 4 AVIV (in der bis 31. Dezember 1995 gültig gewesenen Fassung): Für eine Neuberechnung des versicherten Verdienstes bei Vorliegen einer Zwischenbeschäftigung vorausgesetztes Erfordernis einer zu einem höheren Lohn während mindestens sechs Monaten ununterbrochen ausgeübten beitragspflichtigen Erwerbstätigkeit. Hat ein Versicherter Ferien bezogen, ist für die Beantwortung der Frage, ob er während sechs Monaten ununterbrochen zu einem über dem versicherten Verdienst liegenden Lohn gearbeitet hat, in erster Linie der Wille der Parteien zu Beginn des Arbeitsverhältnisses ausschlaggebend: wurde, wie im konkreten Fall, ein einziges Arbeitsverhältnis vereinbart, ist die Entschädigung für die Ferienzeit unabhängig davon, ob sie vor oder erst nach den Ferien fällig geworden ist, im Sinne von Art. 37 Abs. 4 AVIV als Zwischenverdienst zu berücksichtigen. Frage offengelassen, unter welchen Voraussetzungen bei andersgearteten Arbeitsverhältnissen eine ununterbrochene Tätigkeit angenommen werden kann.</w:t>
      </w:r>
    </w:p>
    <w:p>
      <w:pPr>
        <w:pStyle w:val="Heading2"/>
      </w:pPr>
      <w:r>
        <w:t>Erwägungen</w:t>
      </w:r>
    </w:p>
    <w:p>
      <w:r>
        <w:rPr>
          <w:b/>
        </w:rPr>
        <w:t>E. 2</w:t>
      </w:r>
    </w:p>
    <w:p>
      <w:r>
        <w:t>Ai sensi dell' art. 23 cpv. 1 LADI , nel tenore vigente sino al 31 dicembre 1995, applicabile in concreto, è considerato guadagno assicurato il salario determinante per il calcolo dei contributi e normalmente riscosso durante un periodo di calcolo, compresi gli assegni contrattuali periodici che non siano indennità per inconvenienti connessi al lavoro. È invece considerato guadagno intermedio, giusta l' art. 24 cpv. 1 LADI , il BGE 124 V 69 S. 73 reddito proveniente da un'attività lucrativa dipendente o indipendente che il disoccupato ottiene entro un periodo di controllo. L' art. 37 cpv. 4 OADI , pure nel tenore in vigore sino al 31 dicembre 1995, dispone che il guadagno assicurato viene ricalcolato durante il termine quadro per la riscossione della prestazione se l'assicurato ha esercitato ininterrottamente, durante almeno sei mesi, un'attività soggetta a contribuzione per la quale ha ottenuto un salario più elevato e se è nuovamente divenuto disoccupato.</w:t>
      </w:r>
    </w:p>
    <w:p>
      <w:r>
        <w:rPr>
          <w:b/>
        </w:rPr>
        <w:t>E. 3</w:t>
      </w:r>
    </w:p>
    <w:p>
      <w:r>
        <w:t>L'amministrazione e i primi giudici affacciano anzitutto la tesi secondo la quale il fatto, per l'assicurato, di aver percepito indennità di disoccupazione nel mese di agosto 1994, dovrebbe di per sé impedire il nuovo calcolo del guadagno assicurato, indipendentemente dal quesito di sapere se tali indennità siano state versate a torto o a ragione. Detto argomento manifestamente non regge. L'amministrazione, in effetti, in applicazione del principio della buona fede, non può prevalersi di un suo eventuale errore per non far beneficiare l'assicurato dei diritti conferitigli dal disciplinamento applicabile. Ne deriva che, di massima, la circostanza che la Cassa avrebbe erroneamente versato a C. delle indennità di disoccupazione non osterebbe alla ridefinizione del suo guadagno assicurato. (...).</w:t>
      </w:r>
    </w:p>
    <w:p>
      <w:r>
        <w:rPr>
          <w:b/>
        </w:rPr>
        <w:t>E. 4</w:t>
      </w:r>
    </w:p>
    <w:p>
      <w:r>
        <w:t>Le precedenti istanze ritengono poi che, seppure detto nuovo calcolo fosse in via di massima ammissibile, per la valutazione del salario corrispondente alle vacanze dovrebbero essere prese in considerazione solo le indennità pagate prima delle ferie medesime, e non quelle maturate nei successivi periodi lavorativi. a) Decisivo, per sapere se in un caso concreto vi sia stato un periodo di lavoro ininterrotto di sei mesi durante il quale l'interessato ha ottenuto un salario superiore al guadagno assicurato, è segnatamente stabilire quale fosse la volontà delle parti all'inizio del rapporto. Ora, dagli atti all'inserto è lecito inferire che esse avessero pattuito un unico rapporto, non interrotto nel mese di agosto 1994. Infatti, emerge dal contratto di lavoro concluso tra il ricorrente e la società C. SA il 30 giugno 1994, che il salario e le vacanze erano stati fissati in proporzione all'orario lavorativo effettivo e che la disdetta, durante i primi tre mesi, avrebbe avuto effetto per la fine della settimana successiva, rispettivamente, durante il primo anno, per la fine del mese successivo. Dal canto suo, la ditta G. SA ha attestato, il 17 gennaio 1995, che nell'importo mensile di fr. 7000.- pattuito con il dipendente era compresa la quota parte per BGE 124 V 69 S. 74 vacanze pari all'8,3 % e che il diritto ai giorni di vacanza per il 1994 doveva essere esercitato nel mese di agosto dello stesso anno. L'assicurato aveva pertanto il diritto, senza subire pregiudizi dal profilo dell'assicurazione contro la disoccupazione, di prendere le sue vacanze quando voleva in tale periodo (cfr. sul diritto di fruire delle vacanze in relazione con l'assegnazione di indennità di disoccupazione DTF 123 V 73 consid. 5a). Il ricorrente era tantopiù legittimato a prendere le vacanze proprio in agosto quando si ritenga essersi trattato di vacanze aziendali, così fissate con il datore. b) Deriva da quanto precede che, nel computo del salario determinante per il mese di agosto 1994, C. doveva poter fruire dell'insieme delle indennità per vacanze relative al rapporto lavorativo, unico come si è visto. Aderire alla tesi, peraltro non motivata, dell'amministrazione e della giurisdizione cantonale condurrebbe invece a far sì che la durata delle vacanze ammissibili per non perdere i diritti di cui all' art. 37 cpv. 4 OADI sarebbe funzione del tempo di lavoro effettuato, molto corta all'inizio del rapporto lavorativo, più lunga solo con il decorrere del tempo. Simile costrizione per il lavoratore trattandosi di fissare l'epoca e la durata delle proprie vacanze potrebbe, come in concreto, essere incompatibile con l'organizzazione di una ditta e, se del caso, renderebbe meno attraente la ricerca di lavoro intermedio, questo in contrasto con le intenzioni del legislatore.</w:t>
      </w:r>
    </w:p>
    <w:p>
      <w:r>
        <w:rPr>
          <w:b/>
        </w:rPr>
        <w:t>E. 6</w:t>
      </w:r>
    </w:p>
    <w:p>
      <w:r>
        <w:t>In esito alle suesposte considerazioni, nell'agosto 1994 non vi è stata interruzione del richiesto periodo di attività conferente un salario superiore al guadagno assicurato. I requisiti di cui all' art. 37 cpv. 4 OADI sono quindi adempiuti, per cui l'amministrazione è tenuta a ricalcolare il salario assicurato del ricorrente.</w:t>
      </w:r>
    </w:p>
    <w:p>
      <w:r>
        <w:rPr>
          <w:b/>
        </w:rPr>
        <w:t>E. 7</w:t>
      </w:r>
    </w:p>
    <w:p>
      <w:r>
        <w:t>Insoluto può nell'ambito della presente procedura rimanere il tema di sapere quando si possa ammettere l'esistenza di un periodo di attività ininterrotta ai sensi del predetto disposto di cui all' art. 37 cpv. 4 OADI trattandosi di rapporti lavorativi diversi da quello oggetto della presente vertenza.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